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3DEBE" w14:textId="163099DD" w:rsidR="00453FCE" w:rsidRPr="00BF5A0A" w:rsidRDefault="007B71A9" w:rsidP="00BF5A0A">
      <w:pPr>
        <w:spacing w:after="240" w:line="276" w:lineRule="auto"/>
        <w:jc w:val="center"/>
        <w:rPr>
          <w:sz w:val="28"/>
          <w:szCs w:val="28"/>
        </w:rPr>
      </w:pPr>
      <w:r>
        <w:rPr>
          <w:sz w:val="28"/>
          <w:szCs w:val="28"/>
        </w:rPr>
        <w:t>All of the questions/areas below will be discussed during the SPP meeting. However, p</w:t>
      </w:r>
      <w:bookmarkStart w:id="0" w:name="_GoBack"/>
      <w:bookmarkEnd w:id="0"/>
      <w:r w:rsidR="00BF5A0A" w:rsidRPr="00BF5A0A">
        <w:rPr>
          <w:sz w:val="28"/>
          <w:szCs w:val="28"/>
        </w:rPr>
        <w:t xml:space="preserve">lease add any comments/questions not received during the meeting to this form and send it to </w:t>
      </w:r>
      <w:hyperlink r:id="rId7" w:history="1">
        <w:r w:rsidR="00BF5A0A" w:rsidRPr="00BF5A0A">
          <w:rPr>
            <w:rStyle w:val="Hyperlink"/>
            <w:sz w:val="28"/>
            <w:szCs w:val="28"/>
          </w:rPr>
          <w:t>joemichener@lvcil.org</w:t>
        </w:r>
      </w:hyperlink>
      <w:r w:rsidR="00BF5A0A" w:rsidRPr="00BF5A0A">
        <w:rPr>
          <w:sz w:val="28"/>
          <w:szCs w:val="28"/>
        </w:rPr>
        <w:t>. All input from the meeting and this form will be compiled and sent anonymously to OVR (including its Board) and other stakeholders.</w:t>
      </w:r>
    </w:p>
    <w:p w14:paraId="29A908C6" w14:textId="0B77C4AC" w:rsidR="00515F26" w:rsidRPr="00BC47B5" w:rsidRDefault="00BF5A0A" w:rsidP="0097080B">
      <w:pPr>
        <w:spacing w:after="0" w:line="276" w:lineRule="auto"/>
        <w:rPr>
          <w:sz w:val="32"/>
          <w:szCs w:val="32"/>
        </w:rPr>
      </w:pPr>
      <w:r>
        <w:rPr>
          <w:sz w:val="32"/>
          <w:szCs w:val="32"/>
        </w:rPr>
        <w:t xml:space="preserve">Comments/Questions Related to </w:t>
      </w:r>
      <w:r w:rsidR="003725EE" w:rsidRPr="00BC47B5">
        <w:rPr>
          <w:sz w:val="32"/>
          <w:szCs w:val="32"/>
        </w:rPr>
        <w:t>Key</w:t>
      </w:r>
      <w:r w:rsidR="00515F26" w:rsidRPr="00BC47B5">
        <w:rPr>
          <w:sz w:val="32"/>
          <w:szCs w:val="32"/>
        </w:rPr>
        <w:t xml:space="preserve"> Updates:</w:t>
      </w:r>
    </w:p>
    <w:p w14:paraId="46B94942" w14:textId="79A36110" w:rsidR="00BF5A0A" w:rsidRDefault="00E71810" w:rsidP="00BF5A0A">
      <w:pPr>
        <w:pStyle w:val="ListParagraph"/>
        <w:numPr>
          <w:ilvl w:val="0"/>
          <w:numId w:val="13"/>
        </w:numPr>
        <w:spacing w:after="0" w:line="276" w:lineRule="auto"/>
      </w:pPr>
      <w:r w:rsidRPr="00BC47B5">
        <w:t>Transition Policy workgroup</w:t>
      </w:r>
    </w:p>
    <w:p w14:paraId="0BCFA56B" w14:textId="77777777" w:rsidR="00BF5A0A" w:rsidRPr="00BC47B5" w:rsidRDefault="00BF5A0A" w:rsidP="00BF5A0A">
      <w:pPr>
        <w:spacing w:after="0" w:line="276" w:lineRule="auto"/>
        <w:ind w:left="360"/>
      </w:pPr>
    </w:p>
    <w:p w14:paraId="2D98B1B2" w14:textId="7B42ADBD" w:rsidR="00515F26" w:rsidRDefault="00515F26" w:rsidP="0097080B">
      <w:pPr>
        <w:pStyle w:val="ListParagraph"/>
        <w:numPr>
          <w:ilvl w:val="0"/>
          <w:numId w:val="13"/>
        </w:numPr>
        <w:spacing w:after="0" w:line="276" w:lineRule="auto"/>
      </w:pPr>
      <w:r w:rsidRPr="00BC47B5">
        <w:t>Supported Employment Policy workgroup</w:t>
      </w:r>
    </w:p>
    <w:p w14:paraId="48103827" w14:textId="77777777" w:rsidR="00BF5A0A" w:rsidRPr="00BC47B5" w:rsidRDefault="00BF5A0A" w:rsidP="00BF5A0A">
      <w:pPr>
        <w:spacing w:after="0" w:line="276" w:lineRule="auto"/>
      </w:pPr>
    </w:p>
    <w:p w14:paraId="6745AA29" w14:textId="256C8115" w:rsidR="00515F26" w:rsidRDefault="00515F26" w:rsidP="0097080B">
      <w:pPr>
        <w:pStyle w:val="ListParagraph"/>
        <w:numPr>
          <w:ilvl w:val="0"/>
          <w:numId w:val="13"/>
        </w:numPr>
        <w:spacing w:after="0" w:line="276" w:lineRule="auto"/>
      </w:pPr>
      <w:r w:rsidRPr="00BC47B5">
        <w:t xml:space="preserve">Approval of virtual services sought by </w:t>
      </w:r>
      <w:r w:rsidR="0097080B" w:rsidRPr="00BC47B5">
        <w:t xml:space="preserve">some </w:t>
      </w:r>
      <w:r w:rsidRPr="00BC47B5">
        <w:t>local OVR District Offices</w:t>
      </w:r>
    </w:p>
    <w:p w14:paraId="4EA0B62E" w14:textId="77777777" w:rsidR="00BF5A0A" w:rsidRPr="00BC47B5" w:rsidRDefault="00BF5A0A" w:rsidP="00BF5A0A">
      <w:pPr>
        <w:pStyle w:val="ListParagraph"/>
        <w:spacing w:after="0" w:line="276" w:lineRule="auto"/>
      </w:pPr>
    </w:p>
    <w:p w14:paraId="33EE2E0A" w14:textId="0896810A" w:rsidR="0097080B" w:rsidRDefault="00515F26" w:rsidP="0097080B">
      <w:pPr>
        <w:pStyle w:val="ListParagraph"/>
        <w:numPr>
          <w:ilvl w:val="0"/>
          <w:numId w:val="13"/>
        </w:numPr>
        <w:spacing w:after="0" w:line="276" w:lineRule="auto"/>
      </w:pPr>
      <w:r w:rsidRPr="00BC47B5">
        <w:t>Pre-ETS Transportation</w:t>
      </w:r>
      <w:r w:rsidR="0097080B" w:rsidRPr="00BC47B5">
        <w:t xml:space="preserve"> guidelines</w:t>
      </w:r>
    </w:p>
    <w:p w14:paraId="10E11F8C" w14:textId="77777777" w:rsidR="00BF5A0A" w:rsidRPr="00BC47B5" w:rsidRDefault="00BF5A0A" w:rsidP="00BF5A0A">
      <w:pPr>
        <w:spacing w:after="0" w:line="276" w:lineRule="auto"/>
      </w:pPr>
    </w:p>
    <w:p w14:paraId="326206A1" w14:textId="6A0D5117" w:rsidR="0097080B" w:rsidRDefault="0097080B" w:rsidP="0097080B">
      <w:pPr>
        <w:pStyle w:val="ListParagraph"/>
        <w:numPr>
          <w:ilvl w:val="0"/>
          <w:numId w:val="13"/>
        </w:numPr>
        <w:spacing w:after="0" w:line="276" w:lineRule="auto"/>
      </w:pPr>
      <w:r w:rsidRPr="00BC47B5">
        <w:t>OVR / PDE Memo of Understanding</w:t>
      </w:r>
    </w:p>
    <w:p w14:paraId="1BECDD8A" w14:textId="77777777" w:rsidR="00BF5A0A" w:rsidRPr="00BC47B5" w:rsidRDefault="00BF5A0A" w:rsidP="00BF5A0A">
      <w:pPr>
        <w:spacing w:after="0" w:line="276" w:lineRule="auto"/>
      </w:pPr>
    </w:p>
    <w:p w14:paraId="7908227F" w14:textId="2FC51123" w:rsidR="00515F26" w:rsidRPr="00BC47B5" w:rsidRDefault="0097080B" w:rsidP="00BF5A0A">
      <w:pPr>
        <w:pStyle w:val="ListParagraph"/>
        <w:numPr>
          <w:ilvl w:val="0"/>
          <w:numId w:val="13"/>
        </w:numPr>
        <w:spacing w:after="0" w:line="276" w:lineRule="auto"/>
      </w:pPr>
      <w:r w:rsidRPr="00BC47B5">
        <w:t>Employment First Commission’s Report</w:t>
      </w:r>
      <w:r w:rsidR="00515F26" w:rsidRPr="00BC47B5">
        <w:t xml:space="preserve"> </w:t>
      </w:r>
    </w:p>
    <w:p w14:paraId="23445CA1" w14:textId="77777777" w:rsidR="00BF5A0A" w:rsidRPr="00BF5A0A" w:rsidRDefault="00BF5A0A" w:rsidP="00C40C19">
      <w:pPr>
        <w:spacing w:after="0" w:line="276" w:lineRule="auto"/>
      </w:pPr>
    </w:p>
    <w:p w14:paraId="6CF0B1F2" w14:textId="10A24A3B" w:rsidR="00BC47B5" w:rsidRPr="007B71A9" w:rsidRDefault="00BC47B5" w:rsidP="00BF5A0A">
      <w:pPr>
        <w:spacing w:after="60"/>
        <w:rPr>
          <w:sz w:val="32"/>
          <w:szCs w:val="32"/>
        </w:rPr>
      </w:pPr>
      <w:r w:rsidRPr="007B71A9">
        <w:rPr>
          <w:sz w:val="32"/>
          <w:szCs w:val="32"/>
        </w:rPr>
        <w:t>Questions and Discussion Related to Supported Employment:</w:t>
      </w:r>
    </w:p>
    <w:p w14:paraId="4EA652E2" w14:textId="27D8614D" w:rsidR="00BC47B5" w:rsidRPr="00BF5A0A" w:rsidRDefault="00BC47B5" w:rsidP="00BC47B5">
      <w:pPr>
        <w:spacing w:after="0"/>
        <w:rPr>
          <w:color w:val="0070C0"/>
        </w:rPr>
      </w:pPr>
      <w:r w:rsidRPr="00BF5A0A">
        <w:rPr>
          <w:b/>
          <w:bCs/>
          <w:color w:val="0070C0"/>
        </w:rPr>
        <w:t xml:space="preserve">Regarding your agency’s ability to deliver services during COVID-19 times. </w:t>
      </w:r>
    </w:p>
    <w:p w14:paraId="1E1B3DDD" w14:textId="77777777" w:rsidR="00760FBC" w:rsidRDefault="00760FBC" w:rsidP="00760FBC">
      <w:pPr>
        <w:pStyle w:val="ListParagraph"/>
        <w:numPr>
          <w:ilvl w:val="0"/>
          <w:numId w:val="16"/>
        </w:numPr>
        <w:spacing w:after="120"/>
      </w:pPr>
      <w:r>
        <w:t xml:space="preserve">What worked well while providing continued services the past few months and what system-imposed obstacles did you face? </w:t>
      </w:r>
    </w:p>
    <w:p w14:paraId="750A4BBA" w14:textId="3E69CBD4" w:rsidR="00760FBC" w:rsidRDefault="00760FBC" w:rsidP="00760FBC">
      <w:pPr>
        <w:spacing w:after="0"/>
        <w:ind w:left="720"/>
        <w:rPr>
          <w:i/>
          <w:iCs/>
        </w:rPr>
      </w:pPr>
    </w:p>
    <w:p w14:paraId="7BBD5F33" w14:textId="2AFA29E7" w:rsidR="00BF5A0A" w:rsidRDefault="00BF5A0A" w:rsidP="00760FBC">
      <w:pPr>
        <w:spacing w:after="0"/>
        <w:ind w:left="720"/>
        <w:rPr>
          <w:i/>
          <w:iCs/>
        </w:rPr>
      </w:pPr>
    </w:p>
    <w:p w14:paraId="5A265EDB" w14:textId="77777777" w:rsidR="00BF5A0A" w:rsidRDefault="00BF5A0A" w:rsidP="00760FBC">
      <w:pPr>
        <w:spacing w:after="0"/>
        <w:ind w:left="720"/>
      </w:pPr>
    </w:p>
    <w:p w14:paraId="5A5820D3" w14:textId="7800DB08" w:rsidR="00760FBC" w:rsidRDefault="00760FBC" w:rsidP="00760FBC">
      <w:pPr>
        <w:pStyle w:val="ListParagraph"/>
        <w:numPr>
          <w:ilvl w:val="0"/>
          <w:numId w:val="16"/>
        </w:numPr>
        <w:rPr>
          <w:rFonts w:cs="Times New Roman (Body CS)"/>
          <w:bCs/>
        </w:rPr>
      </w:pPr>
      <w:r w:rsidRPr="00760FBC">
        <w:rPr>
          <w:rFonts w:cs="Times New Roman (Body CS)"/>
          <w:bCs/>
        </w:rPr>
        <w:t>Did you encounter obstacles in SE policy that were in direct conflict with Gov. Wolf’s stay at home orders</w:t>
      </w:r>
      <w:r>
        <w:rPr>
          <w:rFonts w:cs="Times New Roman (Body CS)"/>
          <w:bCs/>
        </w:rPr>
        <w:t>, and what resulted from those situations?</w:t>
      </w:r>
    </w:p>
    <w:p w14:paraId="22125AF8" w14:textId="0D11CC88" w:rsidR="00E3779B" w:rsidRDefault="00E3779B" w:rsidP="00760FBC">
      <w:pPr>
        <w:spacing w:after="0"/>
        <w:ind w:left="360"/>
        <w:rPr>
          <w:i/>
          <w:iCs/>
        </w:rPr>
      </w:pPr>
    </w:p>
    <w:p w14:paraId="7EE03021" w14:textId="77777777" w:rsidR="00BF5A0A" w:rsidRDefault="00BF5A0A" w:rsidP="00760FBC">
      <w:pPr>
        <w:spacing w:after="0"/>
        <w:ind w:left="360"/>
        <w:rPr>
          <w:i/>
          <w:iCs/>
        </w:rPr>
      </w:pPr>
    </w:p>
    <w:p w14:paraId="7BD3CAB0" w14:textId="5DBD60E9" w:rsidR="00E3779B" w:rsidRDefault="00E3779B" w:rsidP="00E3779B">
      <w:pPr>
        <w:pStyle w:val="ListParagraph"/>
        <w:numPr>
          <w:ilvl w:val="0"/>
          <w:numId w:val="16"/>
        </w:numPr>
        <w:spacing w:after="120"/>
      </w:pPr>
      <w:r>
        <w:t>What other specific obstacles have you encountered when working with OVR to provide support for SE consumers during COVID?</w:t>
      </w:r>
    </w:p>
    <w:p w14:paraId="768B21F1" w14:textId="373E00B2" w:rsidR="00E3779B" w:rsidRDefault="00E3779B" w:rsidP="00E3779B">
      <w:pPr>
        <w:spacing w:after="0"/>
        <w:rPr>
          <w:i/>
          <w:iCs/>
        </w:rPr>
      </w:pPr>
    </w:p>
    <w:p w14:paraId="60AD72F2" w14:textId="77777777" w:rsidR="00BF5A0A" w:rsidRDefault="00BF5A0A" w:rsidP="00E3779B">
      <w:pPr>
        <w:spacing w:after="0"/>
      </w:pPr>
    </w:p>
    <w:p w14:paraId="10618A24" w14:textId="791F9649" w:rsidR="00E3779B" w:rsidRDefault="00E3779B" w:rsidP="00E3779B">
      <w:pPr>
        <w:pStyle w:val="ListParagraph"/>
        <w:numPr>
          <w:ilvl w:val="0"/>
          <w:numId w:val="16"/>
        </w:numPr>
        <w:spacing w:after="0"/>
      </w:pPr>
      <w:r>
        <w:t xml:space="preserve">If you are using remote tools to deliver effective SE services, what creative successes have you </w:t>
      </w:r>
      <w:r w:rsidR="000739DC">
        <w:t>experienced</w:t>
      </w:r>
      <w:r>
        <w:t xml:space="preserve"> or what obstacles did you find? In addition, have you been asked to complete the OVR Addendum regarding Remote Services?</w:t>
      </w:r>
    </w:p>
    <w:p w14:paraId="4BD56FB2" w14:textId="2FCBEA52" w:rsidR="00BF5A0A" w:rsidRDefault="00BF5A0A" w:rsidP="00BF5A0A">
      <w:pPr>
        <w:spacing w:after="0"/>
      </w:pPr>
    </w:p>
    <w:p w14:paraId="3CE92195" w14:textId="77777777" w:rsidR="00BF5A0A" w:rsidRDefault="00BF5A0A" w:rsidP="00BF5A0A">
      <w:pPr>
        <w:spacing w:after="0"/>
      </w:pPr>
    </w:p>
    <w:p w14:paraId="6B154C64" w14:textId="4B209684" w:rsidR="00D13600" w:rsidRPr="00BF5A0A" w:rsidRDefault="00D13600" w:rsidP="00D13600">
      <w:pPr>
        <w:spacing w:after="0"/>
        <w:rPr>
          <w:color w:val="0070C0"/>
        </w:rPr>
      </w:pPr>
      <w:r w:rsidRPr="00BF5A0A">
        <w:rPr>
          <w:b/>
          <w:bCs/>
          <w:color w:val="0070C0"/>
        </w:rPr>
        <w:lastRenderedPageBreak/>
        <w:t xml:space="preserve">Regarding SE referrals and placements during the last six months. </w:t>
      </w:r>
    </w:p>
    <w:p w14:paraId="5DAA5ECB" w14:textId="0902EAEF" w:rsidR="00E3779B" w:rsidRDefault="00301633" w:rsidP="00D13600">
      <w:pPr>
        <w:pStyle w:val="ListParagraph"/>
        <w:numPr>
          <w:ilvl w:val="0"/>
          <w:numId w:val="17"/>
        </w:numPr>
        <w:spacing w:after="0"/>
      </w:pPr>
      <w:r>
        <w:t xml:space="preserve">Have referrals from OVR to your agency for SE services stayed the same, risen or declined? Are you seeing trends in referrals not seen previously (e.g. more referrals for Job Retention rather than CBWAs)? Are you able to maintain your </w:t>
      </w:r>
      <w:r w:rsidR="00321ECA">
        <w:t>SE</w:t>
      </w:r>
      <w:r>
        <w:t>-related staff at this point with the current number of referrals received</w:t>
      </w:r>
      <w:r w:rsidR="000739DC">
        <w:t xml:space="preserve"> and work available</w:t>
      </w:r>
      <w:r>
        <w:t>?</w:t>
      </w:r>
    </w:p>
    <w:p w14:paraId="3FA0AD81" w14:textId="56BA2A25" w:rsidR="00301633" w:rsidRDefault="00301633" w:rsidP="00301633">
      <w:pPr>
        <w:spacing w:after="0"/>
      </w:pPr>
    </w:p>
    <w:p w14:paraId="3EEF9F30" w14:textId="09BAD4CD" w:rsidR="00BF5A0A" w:rsidRDefault="00BF5A0A" w:rsidP="00301633">
      <w:pPr>
        <w:spacing w:after="0"/>
      </w:pPr>
    </w:p>
    <w:p w14:paraId="5F826036" w14:textId="77777777" w:rsidR="00BF5A0A" w:rsidRDefault="00BF5A0A" w:rsidP="00301633">
      <w:pPr>
        <w:spacing w:after="0"/>
      </w:pPr>
    </w:p>
    <w:p w14:paraId="6DB57823" w14:textId="04061624" w:rsidR="00301633" w:rsidRDefault="003844A8" w:rsidP="00D13600">
      <w:pPr>
        <w:pStyle w:val="ListParagraph"/>
        <w:numPr>
          <w:ilvl w:val="0"/>
          <w:numId w:val="17"/>
        </w:numPr>
        <w:spacing w:after="0"/>
      </w:pPr>
      <w:r>
        <w:t>Describe your agency’s ability to continue to secure placements since COVID began. Are your existing business partners still hiring? Are new businesses open to hiring or receptive to working with a provider/coach? What unique strategies are you using that could be helpful for others to try?</w:t>
      </w:r>
    </w:p>
    <w:p w14:paraId="788C1C52" w14:textId="27B1EA1C" w:rsidR="000739DC" w:rsidRDefault="000739DC" w:rsidP="000739DC">
      <w:pPr>
        <w:spacing w:after="0"/>
      </w:pPr>
    </w:p>
    <w:p w14:paraId="6F6EFCA0" w14:textId="0FDE78C5" w:rsidR="00BF5A0A" w:rsidRDefault="00BF5A0A" w:rsidP="000739DC">
      <w:pPr>
        <w:spacing w:after="0"/>
      </w:pPr>
    </w:p>
    <w:p w14:paraId="64CBCDBE" w14:textId="77777777" w:rsidR="00BF5A0A" w:rsidRDefault="00BF5A0A" w:rsidP="000739DC">
      <w:pPr>
        <w:spacing w:after="0"/>
      </w:pPr>
    </w:p>
    <w:p w14:paraId="4ED95E5E" w14:textId="2A8618EA" w:rsidR="000739DC" w:rsidRDefault="000739DC" w:rsidP="00D13600">
      <w:pPr>
        <w:pStyle w:val="ListParagraph"/>
        <w:numPr>
          <w:ilvl w:val="0"/>
          <w:numId w:val="17"/>
        </w:numPr>
        <w:spacing w:after="0"/>
      </w:pPr>
      <w:r>
        <w:t>Have you incorporated any technology into your support for potential/existing employers? How has it worked?</w:t>
      </w:r>
    </w:p>
    <w:p w14:paraId="7576A3AB" w14:textId="79A0EA5B" w:rsidR="000739DC" w:rsidRDefault="000739DC" w:rsidP="000739DC">
      <w:pPr>
        <w:spacing w:after="0"/>
      </w:pPr>
    </w:p>
    <w:p w14:paraId="2D4B9A53" w14:textId="486C1FF8" w:rsidR="00BF5A0A" w:rsidRDefault="00BF5A0A" w:rsidP="000739DC">
      <w:pPr>
        <w:spacing w:after="0"/>
      </w:pPr>
    </w:p>
    <w:p w14:paraId="7713414F" w14:textId="77777777" w:rsidR="00BF5A0A" w:rsidRDefault="00BF5A0A" w:rsidP="000739DC">
      <w:pPr>
        <w:spacing w:after="0"/>
      </w:pPr>
    </w:p>
    <w:p w14:paraId="425126C9" w14:textId="7B0E4C44" w:rsidR="000739DC" w:rsidRPr="00BF5A0A" w:rsidRDefault="000739DC" w:rsidP="000739DC">
      <w:pPr>
        <w:spacing w:after="0"/>
        <w:rPr>
          <w:color w:val="0070C0"/>
        </w:rPr>
      </w:pPr>
      <w:r w:rsidRPr="00BF5A0A">
        <w:rPr>
          <w:b/>
          <w:bCs/>
          <w:color w:val="0070C0"/>
        </w:rPr>
        <w:t xml:space="preserve">Regarding overall concerns and opportunities. </w:t>
      </w:r>
    </w:p>
    <w:p w14:paraId="77C40F01" w14:textId="6868C25E" w:rsidR="002969D9" w:rsidRDefault="002851B7" w:rsidP="001E2472">
      <w:pPr>
        <w:pStyle w:val="ListParagraph"/>
        <w:numPr>
          <w:ilvl w:val="0"/>
          <w:numId w:val="18"/>
        </w:numPr>
        <w:spacing w:after="0"/>
      </w:pPr>
      <w:r>
        <w:t>What is your greatest and immediate concern regarding your agency’s ability to continue SE services for OVR customers in today’s marketplace?</w:t>
      </w:r>
      <w:r w:rsidR="002969D9">
        <w:t xml:space="preserve"> Conversely, what is the greatest opportunity providers/OVR have to improve the current situation for OVR customers?</w:t>
      </w:r>
    </w:p>
    <w:p w14:paraId="35A3858B" w14:textId="5D46FCC9" w:rsidR="00BC47B5" w:rsidRDefault="00BC47B5" w:rsidP="00BC47B5">
      <w:pPr>
        <w:spacing w:after="0"/>
      </w:pPr>
    </w:p>
    <w:p w14:paraId="075C9C51" w14:textId="65C80168" w:rsidR="00BC47B5" w:rsidRDefault="00BC47B5" w:rsidP="00BC47B5">
      <w:pPr>
        <w:spacing w:after="0"/>
      </w:pPr>
    </w:p>
    <w:p w14:paraId="44EAD47D" w14:textId="7FE693DA" w:rsidR="006A44C4" w:rsidRDefault="006A44C4" w:rsidP="00BC47B5">
      <w:pPr>
        <w:spacing w:after="0"/>
      </w:pPr>
    </w:p>
    <w:p w14:paraId="4BC3073C" w14:textId="13F95826" w:rsidR="006A44C4" w:rsidRDefault="006A44C4" w:rsidP="00BC47B5">
      <w:pPr>
        <w:spacing w:after="0"/>
      </w:pPr>
    </w:p>
    <w:p w14:paraId="5FB76AFE" w14:textId="1A906D2A" w:rsidR="006A44C4" w:rsidRDefault="006A44C4" w:rsidP="00BC47B5">
      <w:pPr>
        <w:spacing w:after="0"/>
      </w:pPr>
    </w:p>
    <w:p w14:paraId="12A8048B" w14:textId="3EA8CC60" w:rsidR="006A44C4" w:rsidRPr="007B71A9" w:rsidRDefault="006A44C4" w:rsidP="00BF5A0A">
      <w:pPr>
        <w:spacing w:after="60"/>
        <w:rPr>
          <w:sz w:val="32"/>
          <w:szCs w:val="32"/>
        </w:rPr>
      </w:pPr>
      <w:r w:rsidRPr="007B71A9">
        <w:rPr>
          <w:sz w:val="32"/>
          <w:szCs w:val="32"/>
        </w:rPr>
        <w:t>Questions and Discussion Related to Pre-ETS:</w:t>
      </w:r>
    </w:p>
    <w:p w14:paraId="52C3008B" w14:textId="77777777" w:rsidR="006A44C4" w:rsidRPr="00BF5A0A" w:rsidRDefault="006A44C4" w:rsidP="006A44C4">
      <w:pPr>
        <w:spacing w:after="0"/>
        <w:rPr>
          <w:b/>
          <w:bCs/>
          <w:color w:val="538135" w:themeColor="accent6" w:themeShade="BF"/>
        </w:rPr>
      </w:pPr>
      <w:r w:rsidRPr="00BF5A0A">
        <w:rPr>
          <w:b/>
          <w:bCs/>
          <w:color w:val="538135" w:themeColor="accent6" w:themeShade="BF"/>
        </w:rPr>
        <w:t xml:space="preserve">Regarding your agency’s ability to deliver services during COVID-19 times. </w:t>
      </w:r>
    </w:p>
    <w:p w14:paraId="20A599AE" w14:textId="77777777" w:rsidR="005B06FA" w:rsidRDefault="005B06FA" w:rsidP="005B06FA">
      <w:pPr>
        <w:pStyle w:val="ListParagraph"/>
        <w:numPr>
          <w:ilvl w:val="0"/>
          <w:numId w:val="19"/>
        </w:numPr>
        <w:spacing w:after="120"/>
      </w:pPr>
      <w:r>
        <w:t xml:space="preserve">What worked well while providing continued services the past few months and what system-imposed obstacles did you face? </w:t>
      </w:r>
    </w:p>
    <w:p w14:paraId="4447E45C" w14:textId="38BD7A32" w:rsidR="005B06FA" w:rsidRDefault="005B06FA" w:rsidP="005B06FA">
      <w:pPr>
        <w:spacing w:after="0"/>
      </w:pPr>
    </w:p>
    <w:p w14:paraId="5805ABCD" w14:textId="6C9CB6EE" w:rsidR="00BF5A0A" w:rsidRDefault="00BF5A0A" w:rsidP="005B06FA">
      <w:pPr>
        <w:spacing w:after="0"/>
      </w:pPr>
    </w:p>
    <w:p w14:paraId="5322B209" w14:textId="77777777" w:rsidR="00BF5A0A" w:rsidRDefault="00BF5A0A" w:rsidP="005B06FA">
      <w:pPr>
        <w:spacing w:after="0"/>
      </w:pPr>
    </w:p>
    <w:p w14:paraId="15107B3C" w14:textId="35D0C118" w:rsidR="005B06FA" w:rsidRDefault="005B06FA" w:rsidP="005B06FA">
      <w:pPr>
        <w:pStyle w:val="ListParagraph"/>
        <w:numPr>
          <w:ilvl w:val="0"/>
          <w:numId w:val="19"/>
        </w:numPr>
        <w:rPr>
          <w:rFonts w:cs="Times New Roman (Body CS)"/>
          <w:bCs/>
        </w:rPr>
      </w:pPr>
      <w:r w:rsidRPr="00760FBC">
        <w:rPr>
          <w:rFonts w:cs="Times New Roman (Body CS)"/>
          <w:bCs/>
        </w:rPr>
        <w:t xml:space="preserve">Did you encounter obstacles in </w:t>
      </w:r>
      <w:r>
        <w:rPr>
          <w:rFonts w:cs="Times New Roman (Body CS)"/>
          <w:bCs/>
        </w:rPr>
        <w:t>Pre-ETS guidelines</w:t>
      </w:r>
      <w:r w:rsidRPr="00760FBC">
        <w:rPr>
          <w:rFonts w:cs="Times New Roman (Body CS)"/>
          <w:bCs/>
        </w:rPr>
        <w:t xml:space="preserve"> that were in direct conflict with Gov. Wolf’s stay at home orders</w:t>
      </w:r>
      <w:r>
        <w:rPr>
          <w:rFonts w:cs="Times New Roman (Body CS)"/>
          <w:bCs/>
        </w:rPr>
        <w:t>, and what resulted from those situations?</w:t>
      </w:r>
    </w:p>
    <w:p w14:paraId="265F93B0" w14:textId="7514DA8F" w:rsidR="005B06FA" w:rsidRDefault="005B06FA" w:rsidP="005B06FA">
      <w:pPr>
        <w:spacing w:after="0"/>
        <w:ind w:left="360"/>
        <w:rPr>
          <w:i/>
          <w:iCs/>
        </w:rPr>
      </w:pPr>
    </w:p>
    <w:p w14:paraId="3C11913E" w14:textId="08FDC394" w:rsidR="00BF5A0A" w:rsidRDefault="00BF5A0A" w:rsidP="005B06FA">
      <w:pPr>
        <w:spacing w:after="0"/>
        <w:ind w:left="360"/>
        <w:rPr>
          <w:i/>
          <w:iCs/>
        </w:rPr>
      </w:pPr>
    </w:p>
    <w:p w14:paraId="0A44C642" w14:textId="77777777" w:rsidR="00BF5A0A" w:rsidRDefault="00BF5A0A" w:rsidP="005B06FA">
      <w:pPr>
        <w:spacing w:after="0"/>
        <w:ind w:left="360"/>
        <w:rPr>
          <w:i/>
          <w:iCs/>
        </w:rPr>
      </w:pPr>
    </w:p>
    <w:p w14:paraId="3BB182A8" w14:textId="4B32E1B6" w:rsidR="005B06FA" w:rsidRDefault="005B06FA" w:rsidP="005B06FA">
      <w:pPr>
        <w:pStyle w:val="ListParagraph"/>
        <w:numPr>
          <w:ilvl w:val="0"/>
          <w:numId w:val="19"/>
        </w:numPr>
        <w:spacing w:after="120"/>
      </w:pPr>
      <w:r>
        <w:t>What other specific obstacles have you encountered when working with OVR to provide support for Pre-ETS consumers during COVID?</w:t>
      </w:r>
    </w:p>
    <w:p w14:paraId="04E56C14" w14:textId="0B767C04" w:rsidR="005B06FA" w:rsidRDefault="005B06FA" w:rsidP="005B06FA">
      <w:pPr>
        <w:spacing w:after="0"/>
      </w:pPr>
    </w:p>
    <w:p w14:paraId="5B80551B" w14:textId="654DDABA" w:rsidR="00BF5A0A" w:rsidRDefault="00BF5A0A" w:rsidP="005B06FA">
      <w:pPr>
        <w:spacing w:after="0"/>
      </w:pPr>
    </w:p>
    <w:p w14:paraId="76CCFD50" w14:textId="77777777" w:rsidR="00BF5A0A" w:rsidRDefault="00BF5A0A" w:rsidP="005B06FA">
      <w:pPr>
        <w:spacing w:after="0"/>
      </w:pPr>
    </w:p>
    <w:p w14:paraId="706FE5F9" w14:textId="464635B5" w:rsidR="005B06FA" w:rsidRDefault="005B06FA" w:rsidP="005B06FA">
      <w:pPr>
        <w:pStyle w:val="ListParagraph"/>
        <w:numPr>
          <w:ilvl w:val="0"/>
          <w:numId w:val="19"/>
        </w:numPr>
        <w:spacing w:after="0"/>
      </w:pPr>
      <w:r>
        <w:lastRenderedPageBreak/>
        <w:t>If you are using remote tools to deliver effective Pre-ETS services, what creative successes have you experienced or what obstacles did you find? In addition, have you been asked to complete the OVR Addendum regarding Remote Services?</w:t>
      </w:r>
    </w:p>
    <w:p w14:paraId="31B8A466" w14:textId="74021830" w:rsidR="006A44C4" w:rsidRDefault="006A44C4" w:rsidP="00BC47B5">
      <w:pPr>
        <w:spacing w:after="0"/>
      </w:pPr>
    </w:p>
    <w:p w14:paraId="78971BE9" w14:textId="01D74590" w:rsidR="006232E3" w:rsidRPr="00BF5A0A" w:rsidRDefault="006232E3" w:rsidP="006232E3">
      <w:pPr>
        <w:spacing w:after="0"/>
        <w:rPr>
          <w:color w:val="538135" w:themeColor="accent6" w:themeShade="BF"/>
        </w:rPr>
      </w:pPr>
      <w:r w:rsidRPr="00BF5A0A">
        <w:rPr>
          <w:b/>
          <w:bCs/>
          <w:color w:val="538135" w:themeColor="accent6" w:themeShade="BF"/>
        </w:rPr>
        <w:t xml:space="preserve">Regarding Pre-ETS referrals and placements during the last six months. </w:t>
      </w:r>
    </w:p>
    <w:p w14:paraId="5816B161" w14:textId="304AE9C9" w:rsidR="006232E3" w:rsidRDefault="006232E3" w:rsidP="006232E3">
      <w:pPr>
        <w:pStyle w:val="ListParagraph"/>
        <w:numPr>
          <w:ilvl w:val="0"/>
          <w:numId w:val="20"/>
        </w:numPr>
        <w:spacing w:after="0"/>
      </w:pPr>
      <w:r>
        <w:t>After completing the new mandatory Pre-ETS Agreement Addendums in January 2020, have you received any Pre-ETS referrals? If so, any for group services? Individual services? Overall are you receiving less or more referrals than prior to the changes?</w:t>
      </w:r>
    </w:p>
    <w:p w14:paraId="44F79445" w14:textId="311EEDE9" w:rsidR="00321ECA" w:rsidRDefault="00321ECA" w:rsidP="00321ECA">
      <w:pPr>
        <w:pStyle w:val="ListParagraph"/>
        <w:spacing w:after="0"/>
        <w:ind w:left="360"/>
      </w:pPr>
    </w:p>
    <w:p w14:paraId="0A99C343" w14:textId="47E49CFC" w:rsidR="00BF5A0A" w:rsidRDefault="00BF5A0A" w:rsidP="00321ECA">
      <w:pPr>
        <w:pStyle w:val="ListParagraph"/>
        <w:spacing w:after="0"/>
        <w:ind w:left="360"/>
      </w:pPr>
    </w:p>
    <w:p w14:paraId="28673981" w14:textId="77777777" w:rsidR="00BF5A0A" w:rsidRDefault="00BF5A0A" w:rsidP="00321ECA">
      <w:pPr>
        <w:pStyle w:val="ListParagraph"/>
        <w:spacing w:after="0"/>
        <w:ind w:left="360"/>
      </w:pPr>
    </w:p>
    <w:p w14:paraId="7F6A68FF" w14:textId="258DA518" w:rsidR="00321ECA" w:rsidRDefault="00321ECA" w:rsidP="006232E3">
      <w:pPr>
        <w:pStyle w:val="ListParagraph"/>
        <w:numPr>
          <w:ilvl w:val="0"/>
          <w:numId w:val="20"/>
        </w:numPr>
        <w:spacing w:after="0"/>
      </w:pPr>
      <w:r>
        <w:t xml:space="preserve">Many providers were reporting challenges maintaining staff at the current rates for Pre-ETS prior to COVID. Have you been able to maintain your staff during the past few months? If you have maintained them, do you plan to continue to provide a similar level of Pre-ETS? If not, do you intend to pass on future Pre-ETS referrals or reduce services in any way? </w:t>
      </w:r>
    </w:p>
    <w:p w14:paraId="799FBA44" w14:textId="1B15C80E" w:rsidR="006232E3" w:rsidRDefault="006232E3" w:rsidP="006232E3">
      <w:pPr>
        <w:spacing w:after="0"/>
      </w:pPr>
    </w:p>
    <w:p w14:paraId="2DA891C9" w14:textId="36ED978C" w:rsidR="00BF5A0A" w:rsidRDefault="00BF5A0A" w:rsidP="006232E3">
      <w:pPr>
        <w:spacing w:after="0"/>
      </w:pPr>
    </w:p>
    <w:p w14:paraId="53DBB34B" w14:textId="77777777" w:rsidR="00BF5A0A" w:rsidRDefault="00BF5A0A" w:rsidP="006232E3">
      <w:pPr>
        <w:spacing w:after="0"/>
      </w:pPr>
    </w:p>
    <w:p w14:paraId="7FB9AF58" w14:textId="552D5AAB" w:rsidR="006232E3" w:rsidRDefault="006232E3" w:rsidP="006232E3">
      <w:pPr>
        <w:pStyle w:val="ListParagraph"/>
        <w:numPr>
          <w:ilvl w:val="0"/>
          <w:numId w:val="20"/>
        </w:numPr>
        <w:spacing w:after="0"/>
      </w:pPr>
      <w:r>
        <w:t xml:space="preserve">Describe your agency’s ability to continue to secure paid work experience (PWE) or job shadowing (JS) </w:t>
      </w:r>
      <w:r w:rsidR="00321ECA">
        <w:t>opportunities</w:t>
      </w:r>
      <w:r>
        <w:t xml:space="preserve"> since COVID began. What unique strategies are you using that could be helpful for others to try?</w:t>
      </w:r>
    </w:p>
    <w:p w14:paraId="1188D1DC" w14:textId="2E7A317E" w:rsidR="006232E3" w:rsidRDefault="006232E3" w:rsidP="006232E3">
      <w:pPr>
        <w:spacing w:after="0"/>
      </w:pPr>
    </w:p>
    <w:p w14:paraId="20C9822C" w14:textId="6D938BD4" w:rsidR="00BF5A0A" w:rsidRDefault="00BF5A0A" w:rsidP="006232E3">
      <w:pPr>
        <w:spacing w:after="0"/>
      </w:pPr>
    </w:p>
    <w:p w14:paraId="5068268C" w14:textId="77777777" w:rsidR="00BF5A0A" w:rsidRDefault="00BF5A0A" w:rsidP="006232E3">
      <w:pPr>
        <w:spacing w:after="0"/>
      </w:pPr>
    </w:p>
    <w:p w14:paraId="48E7A762" w14:textId="4262729A" w:rsidR="006232E3" w:rsidRDefault="00321ECA" w:rsidP="006232E3">
      <w:pPr>
        <w:pStyle w:val="ListParagraph"/>
        <w:numPr>
          <w:ilvl w:val="0"/>
          <w:numId w:val="20"/>
        </w:numPr>
        <w:spacing w:after="0"/>
      </w:pPr>
      <w:r>
        <w:t xml:space="preserve">Are you finding parents and/or schools are interested or resistant to Pre-ETS during COVID? </w:t>
      </w:r>
      <w:r w:rsidR="00D863DB">
        <w:t xml:space="preserve">How are you managing these responses? </w:t>
      </w:r>
    </w:p>
    <w:p w14:paraId="2B9285D2" w14:textId="469B9D4E" w:rsidR="00321ECA" w:rsidRDefault="00321ECA" w:rsidP="00321ECA">
      <w:pPr>
        <w:pStyle w:val="ListParagraph"/>
        <w:spacing w:after="0"/>
        <w:ind w:left="360"/>
      </w:pPr>
    </w:p>
    <w:p w14:paraId="5AEE8802" w14:textId="0BE4AA4B" w:rsidR="00BF5A0A" w:rsidRDefault="00BF5A0A" w:rsidP="00321ECA">
      <w:pPr>
        <w:pStyle w:val="ListParagraph"/>
        <w:spacing w:after="0"/>
        <w:ind w:left="360"/>
      </w:pPr>
    </w:p>
    <w:p w14:paraId="5E65B27F" w14:textId="77777777" w:rsidR="00BF5A0A" w:rsidRDefault="00BF5A0A" w:rsidP="00321ECA">
      <w:pPr>
        <w:pStyle w:val="ListParagraph"/>
        <w:spacing w:after="0"/>
        <w:ind w:left="360"/>
      </w:pPr>
    </w:p>
    <w:p w14:paraId="27414FD8" w14:textId="14352085" w:rsidR="00321ECA" w:rsidRDefault="00321ECA" w:rsidP="006232E3">
      <w:pPr>
        <w:pStyle w:val="ListParagraph"/>
        <w:numPr>
          <w:ilvl w:val="0"/>
          <w:numId w:val="20"/>
        </w:numPr>
        <w:spacing w:after="0"/>
      </w:pPr>
      <w:r>
        <w:t>What other success can you share? What obstacles are potentially opportunities waiting to happen?</w:t>
      </w:r>
    </w:p>
    <w:p w14:paraId="7A0D38DC" w14:textId="7E7D9543" w:rsidR="006232E3" w:rsidRDefault="006232E3" w:rsidP="006232E3">
      <w:pPr>
        <w:spacing w:after="0"/>
      </w:pPr>
    </w:p>
    <w:p w14:paraId="32D43775" w14:textId="126050C2" w:rsidR="00BF5A0A" w:rsidRDefault="00BF5A0A" w:rsidP="006232E3">
      <w:pPr>
        <w:spacing w:after="0"/>
      </w:pPr>
    </w:p>
    <w:p w14:paraId="1406E05F" w14:textId="77777777" w:rsidR="00BF5A0A" w:rsidRDefault="00BF5A0A" w:rsidP="006232E3">
      <w:pPr>
        <w:spacing w:after="0"/>
      </w:pPr>
    </w:p>
    <w:p w14:paraId="684B3D17" w14:textId="77777777" w:rsidR="006232E3" w:rsidRPr="00BF5A0A" w:rsidRDefault="006232E3" w:rsidP="006232E3">
      <w:pPr>
        <w:spacing w:after="0"/>
        <w:rPr>
          <w:color w:val="538135" w:themeColor="accent6" w:themeShade="BF"/>
        </w:rPr>
      </w:pPr>
      <w:r w:rsidRPr="00BF5A0A">
        <w:rPr>
          <w:b/>
          <w:bCs/>
          <w:color w:val="538135" w:themeColor="accent6" w:themeShade="BF"/>
        </w:rPr>
        <w:t xml:space="preserve">Regarding overall concerns and opportunities. </w:t>
      </w:r>
    </w:p>
    <w:p w14:paraId="29738E39" w14:textId="5F8E1281" w:rsidR="006232E3" w:rsidRDefault="006232E3" w:rsidP="00DA4173">
      <w:pPr>
        <w:pStyle w:val="ListParagraph"/>
        <w:numPr>
          <w:ilvl w:val="0"/>
          <w:numId w:val="21"/>
        </w:numPr>
        <w:spacing w:after="0"/>
      </w:pPr>
      <w:r>
        <w:t>What is your greatest and immediate concern regarding your agency’s ability to continue Pre-ETS services for OVR customers in today’s marketplace? Conversely, what is the greatest opportunity providers/OVR have to improve the current situation for OVR customers?</w:t>
      </w:r>
    </w:p>
    <w:sectPr w:rsidR="006232E3" w:rsidSect="003C14A4">
      <w:footerReference w:type="default" r:id="rId8"/>
      <w:headerReference w:type="first" r:id="rId9"/>
      <w:footerReference w:type="first" r:id="rId10"/>
      <w:pgSz w:w="12240" w:h="15840"/>
      <w:pgMar w:top="864" w:right="1008" w:bottom="720" w:left="1008"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28D1B" w14:textId="77777777" w:rsidR="004B4A4D" w:rsidRDefault="004B4A4D" w:rsidP="003C14A4">
      <w:pPr>
        <w:spacing w:after="0" w:line="240" w:lineRule="auto"/>
      </w:pPr>
      <w:r>
        <w:separator/>
      </w:r>
    </w:p>
  </w:endnote>
  <w:endnote w:type="continuationSeparator" w:id="0">
    <w:p w14:paraId="4F80A261" w14:textId="77777777" w:rsidR="004B4A4D" w:rsidRDefault="004B4A4D" w:rsidP="003C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1D686" w14:textId="77777777" w:rsidR="003C14A4" w:rsidRPr="003C14A4" w:rsidRDefault="004B4A4D" w:rsidP="003C14A4">
    <w:pPr>
      <w:pStyle w:val="Footer"/>
      <w:jc w:val="center"/>
      <w:rPr>
        <w:sz w:val="32"/>
        <w:szCs w:val="32"/>
      </w:rPr>
    </w:pPr>
    <w:hyperlink r:id="rId1" w:history="1">
      <w:r w:rsidR="003C14A4" w:rsidRPr="00213E87">
        <w:rPr>
          <w:rStyle w:val="Hyperlink"/>
          <w:sz w:val="32"/>
          <w:szCs w:val="32"/>
        </w:rPr>
        <w:t>StatewideProviderPartnership@lvcil.org</w:t>
      </w:r>
    </w:hyperlink>
    <w:r w:rsidR="003C14A4">
      <w:rPr>
        <w:rStyle w:val="Hyperlink"/>
        <w:sz w:val="32"/>
        <w:szCs w:val="32"/>
        <w:u w:val="none"/>
      </w:rPr>
      <w:tab/>
    </w:r>
    <w:r w:rsidR="003C14A4" w:rsidRPr="00FD04A7">
      <w:rPr>
        <w:rStyle w:val="Hyperlink"/>
        <w:color w:val="7F7F7F" w:themeColor="background1" w:themeShade="7F"/>
        <w:spacing w:val="60"/>
        <w:sz w:val="32"/>
        <w:szCs w:val="32"/>
        <w:u w:val="none"/>
      </w:rPr>
      <w:t>Page</w:t>
    </w:r>
    <w:r w:rsidR="003C14A4" w:rsidRPr="00FD04A7">
      <w:rPr>
        <w:rStyle w:val="Hyperlink"/>
        <w:sz w:val="32"/>
        <w:szCs w:val="32"/>
        <w:u w:val="none"/>
      </w:rPr>
      <w:t xml:space="preserve"> | </w:t>
    </w:r>
    <w:r w:rsidR="003C14A4" w:rsidRPr="00FD04A7">
      <w:rPr>
        <w:rStyle w:val="Hyperlink"/>
        <w:sz w:val="32"/>
        <w:szCs w:val="32"/>
        <w:u w:val="none"/>
      </w:rPr>
      <w:fldChar w:fldCharType="begin"/>
    </w:r>
    <w:r w:rsidR="003C14A4" w:rsidRPr="00FD04A7">
      <w:rPr>
        <w:rStyle w:val="Hyperlink"/>
        <w:sz w:val="32"/>
        <w:szCs w:val="32"/>
        <w:u w:val="none"/>
      </w:rPr>
      <w:instrText xml:space="preserve"> PAGE   \* MERGEFORMAT </w:instrText>
    </w:r>
    <w:r w:rsidR="003C14A4" w:rsidRPr="00FD04A7">
      <w:rPr>
        <w:rStyle w:val="Hyperlink"/>
        <w:sz w:val="32"/>
        <w:szCs w:val="32"/>
        <w:u w:val="none"/>
      </w:rPr>
      <w:fldChar w:fldCharType="separate"/>
    </w:r>
    <w:r w:rsidR="003C14A4">
      <w:rPr>
        <w:rStyle w:val="Hyperlink"/>
        <w:sz w:val="32"/>
        <w:szCs w:val="32"/>
        <w:u w:val="none"/>
      </w:rPr>
      <w:t>1</w:t>
    </w:r>
    <w:r w:rsidR="003C14A4" w:rsidRPr="00FD04A7">
      <w:rPr>
        <w:rStyle w:val="Hyperlink"/>
        <w:b/>
        <w:bCs/>
        <w:noProof/>
        <w:sz w:val="32"/>
        <w:szCs w:val="32"/>
        <w:u w:val="non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E889D" w14:textId="77777777" w:rsidR="003C14A4" w:rsidRPr="003C14A4" w:rsidRDefault="004B4A4D" w:rsidP="003C14A4">
    <w:pPr>
      <w:pStyle w:val="Footer"/>
      <w:jc w:val="center"/>
      <w:rPr>
        <w:sz w:val="32"/>
        <w:szCs w:val="32"/>
      </w:rPr>
    </w:pPr>
    <w:hyperlink r:id="rId1" w:history="1">
      <w:r w:rsidR="003C14A4" w:rsidRPr="00213E87">
        <w:rPr>
          <w:rStyle w:val="Hyperlink"/>
          <w:sz w:val="32"/>
          <w:szCs w:val="32"/>
        </w:rPr>
        <w:t>StatewideProviderPartnership@lvcil.org</w:t>
      </w:r>
    </w:hyperlink>
    <w:r w:rsidR="003C14A4">
      <w:rPr>
        <w:rStyle w:val="Hyperlink"/>
        <w:sz w:val="32"/>
        <w:szCs w:val="32"/>
        <w:u w:val="none"/>
      </w:rPr>
      <w:tab/>
    </w:r>
    <w:r w:rsidR="003C14A4" w:rsidRPr="00FD04A7">
      <w:rPr>
        <w:rStyle w:val="Hyperlink"/>
        <w:color w:val="7F7F7F" w:themeColor="background1" w:themeShade="7F"/>
        <w:spacing w:val="60"/>
        <w:sz w:val="32"/>
        <w:szCs w:val="32"/>
        <w:u w:val="none"/>
      </w:rPr>
      <w:t>Page</w:t>
    </w:r>
    <w:r w:rsidR="003C14A4" w:rsidRPr="00FD04A7">
      <w:rPr>
        <w:rStyle w:val="Hyperlink"/>
        <w:sz w:val="32"/>
        <w:szCs w:val="32"/>
        <w:u w:val="none"/>
      </w:rPr>
      <w:t xml:space="preserve"> | </w:t>
    </w:r>
    <w:r w:rsidR="003C14A4" w:rsidRPr="00FD04A7">
      <w:rPr>
        <w:rStyle w:val="Hyperlink"/>
        <w:sz w:val="32"/>
        <w:szCs w:val="32"/>
        <w:u w:val="none"/>
      </w:rPr>
      <w:fldChar w:fldCharType="begin"/>
    </w:r>
    <w:r w:rsidR="003C14A4" w:rsidRPr="00FD04A7">
      <w:rPr>
        <w:rStyle w:val="Hyperlink"/>
        <w:sz w:val="32"/>
        <w:szCs w:val="32"/>
        <w:u w:val="none"/>
      </w:rPr>
      <w:instrText xml:space="preserve"> PAGE   \* MERGEFORMAT </w:instrText>
    </w:r>
    <w:r w:rsidR="003C14A4" w:rsidRPr="00FD04A7">
      <w:rPr>
        <w:rStyle w:val="Hyperlink"/>
        <w:sz w:val="32"/>
        <w:szCs w:val="32"/>
        <w:u w:val="none"/>
      </w:rPr>
      <w:fldChar w:fldCharType="separate"/>
    </w:r>
    <w:r w:rsidR="003C14A4">
      <w:rPr>
        <w:rStyle w:val="Hyperlink"/>
        <w:sz w:val="32"/>
        <w:szCs w:val="32"/>
        <w:u w:val="none"/>
      </w:rPr>
      <w:t>1</w:t>
    </w:r>
    <w:r w:rsidR="003C14A4" w:rsidRPr="00FD04A7">
      <w:rPr>
        <w:rStyle w:val="Hyperlink"/>
        <w:b/>
        <w:bCs/>
        <w:noProof/>
        <w:sz w:val="32"/>
        <w:szCs w:val="32"/>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321BA" w14:textId="77777777" w:rsidR="004B4A4D" w:rsidRDefault="004B4A4D" w:rsidP="003C14A4">
      <w:pPr>
        <w:spacing w:after="0" w:line="240" w:lineRule="auto"/>
      </w:pPr>
      <w:r>
        <w:separator/>
      </w:r>
    </w:p>
  </w:footnote>
  <w:footnote w:type="continuationSeparator" w:id="0">
    <w:p w14:paraId="386A6E9B" w14:textId="77777777" w:rsidR="004B4A4D" w:rsidRDefault="004B4A4D" w:rsidP="003C1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63E01" w14:textId="77777777" w:rsidR="003C14A4" w:rsidRPr="0025614C" w:rsidRDefault="003C14A4" w:rsidP="003C14A4">
    <w:pPr>
      <w:pStyle w:val="Header"/>
      <w:rPr>
        <w:rFonts w:ascii="Copperplate Gothic Bold" w:hAnsi="Copperplate Gothic Bold"/>
        <w:color w:val="2F5496" w:themeColor="accent1" w:themeShade="BF"/>
        <w:sz w:val="44"/>
        <w:szCs w:val="44"/>
      </w:rPr>
    </w:pPr>
    <w:r w:rsidRPr="0025614C">
      <w:rPr>
        <w:rFonts w:ascii="Copperplate Gothic Bold" w:hAnsi="Copperplate Gothic Bold"/>
        <w:color w:val="2F5496" w:themeColor="accent1" w:themeShade="BF"/>
        <w:sz w:val="44"/>
        <w:szCs w:val="44"/>
      </w:rPr>
      <w:t>Statewide</w:t>
    </w:r>
    <w:r>
      <w:rPr>
        <w:rFonts w:ascii="Copperplate Gothic Bold" w:hAnsi="Copperplate Gothic Bold"/>
        <w:color w:val="2F5496" w:themeColor="accent1" w:themeShade="BF"/>
        <w:sz w:val="44"/>
        <w:szCs w:val="44"/>
      </w:rPr>
      <w:t xml:space="preserve"> </w:t>
    </w:r>
  </w:p>
  <w:p w14:paraId="59C5690E" w14:textId="77777777" w:rsidR="003C14A4" w:rsidRPr="0025614C" w:rsidRDefault="003C14A4" w:rsidP="003C14A4">
    <w:pPr>
      <w:pStyle w:val="Header"/>
      <w:rPr>
        <w:rFonts w:ascii="Copperplate Gothic Bold" w:hAnsi="Copperplate Gothic Bold"/>
        <w:color w:val="2F5496" w:themeColor="accent1" w:themeShade="BF"/>
        <w:sz w:val="44"/>
        <w:szCs w:val="44"/>
      </w:rPr>
    </w:pPr>
    <w:r>
      <w:rPr>
        <w:rFonts w:ascii="Copperplate Gothic Bold" w:hAnsi="Copperplate Gothic Bold"/>
        <w:color w:val="2F5496" w:themeColor="accent1" w:themeShade="BF"/>
        <w:sz w:val="44"/>
        <w:szCs w:val="44"/>
      </w:rPr>
      <w:t>Provider</w:t>
    </w:r>
    <w:r>
      <w:rPr>
        <w:rFonts w:ascii="Copperplate Gothic Bold" w:hAnsi="Copperplate Gothic Bold"/>
        <w:color w:val="2F5496" w:themeColor="accent1" w:themeShade="BF"/>
        <w:sz w:val="44"/>
        <w:szCs w:val="44"/>
      </w:rPr>
      <w:tab/>
      <w:t xml:space="preserve">                                      </w:t>
    </w:r>
  </w:p>
  <w:p w14:paraId="055C1CE0" w14:textId="542A4FFB" w:rsidR="003C14A4" w:rsidRDefault="003C14A4" w:rsidP="003C14A4">
    <w:pPr>
      <w:pStyle w:val="Header"/>
      <w:pBdr>
        <w:bottom w:val="single" w:sz="12" w:space="1" w:color="auto"/>
      </w:pBdr>
      <w:rPr>
        <w:rFonts w:ascii="Copperplate Gothic Bold" w:hAnsi="Copperplate Gothic Bold"/>
        <w:color w:val="2F5496" w:themeColor="accent1" w:themeShade="BF"/>
        <w:sz w:val="44"/>
        <w:szCs w:val="44"/>
      </w:rPr>
    </w:pPr>
    <w:r>
      <w:rPr>
        <w:rFonts w:ascii="Copperplate Gothic Bold" w:hAnsi="Copperplate Gothic Bold"/>
        <w:color w:val="2F5496" w:themeColor="accent1" w:themeShade="BF"/>
        <w:sz w:val="44"/>
        <w:szCs w:val="44"/>
      </w:rPr>
      <w:t>Partnership</w:t>
    </w:r>
    <w:r w:rsidR="003D6AEF">
      <w:rPr>
        <w:rFonts w:ascii="Copperplate Gothic Bold" w:hAnsi="Copperplate Gothic Bold"/>
        <w:color w:val="2F5496" w:themeColor="accent1" w:themeShade="BF"/>
        <w:sz w:val="44"/>
        <w:szCs w:val="44"/>
      </w:rPr>
      <w:t xml:space="preserve"> (SPP)</w:t>
    </w:r>
    <w:r w:rsidRPr="0025614C">
      <w:rPr>
        <w:rFonts w:ascii="Copperplate Gothic Bold" w:hAnsi="Copperplate Gothic Bold"/>
        <w:color w:val="2F5496" w:themeColor="accent1" w:themeShade="BF"/>
        <w:sz w:val="44"/>
        <w:szCs w:val="44"/>
      </w:rPr>
      <w:ptab w:relativeTo="margin" w:alignment="center" w:leader="none"/>
    </w:r>
    <w:r w:rsidRPr="0025614C">
      <w:rPr>
        <w:rFonts w:ascii="Copperplate Gothic Bold" w:hAnsi="Copperplate Gothic Bold"/>
        <w:color w:val="2F5496" w:themeColor="accent1" w:themeShade="BF"/>
        <w:sz w:val="44"/>
        <w:szCs w:val="44"/>
      </w:rPr>
      <w:ptab w:relativeTo="margin" w:alignment="right" w:leader="none"/>
    </w:r>
  </w:p>
  <w:p w14:paraId="39CC683C" w14:textId="77777777" w:rsidR="003C14A4" w:rsidRDefault="003C1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84F"/>
    <w:multiLevelType w:val="hybridMultilevel"/>
    <w:tmpl w:val="DED2D4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816CCF"/>
    <w:multiLevelType w:val="hybridMultilevel"/>
    <w:tmpl w:val="FAB49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046B45"/>
    <w:multiLevelType w:val="multilevel"/>
    <w:tmpl w:val="F578B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63263"/>
    <w:multiLevelType w:val="hybridMultilevel"/>
    <w:tmpl w:val="98709C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003CA"/>
    <w:multiLevelType w:val="multilevel"/>
    <w:tmpl w:val="FE8CD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41E87"/>
    <w:multiLevelType w:val="hybridMultilevel"/>
    <w:tmpl w:val="E6E80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44545E"/>
    <w:multiLevelType w:val="hybridMultilevel"/>
    <w:tmpl w:val="D6DEB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641A7"/>
    <w:multiLevelType w:val="hybridMultilevel"/>
    <w:tmpl w:val="E780A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475D7"/>
    <w:multiLevelType w:val="multilevel"/>
    <w:tmpl w:val="0D6C6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365F3"/>
    <w:multiLevelType w:val="hybridMultilevel"/>
    <w:tmpl w:val="DED2D4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F03FC5"/>
    <w:multiLevelType w:val="hybridMultilevel"/>
    <w:tmpl w:val="425E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760C9"/>
    <w:multiLevelType w:val="hybridMultilevel"/>
    <w:tmpl w:val="869C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3668B"/>
    <w:multiLevelType w:val="hybridMultilevel"/>
    <w:tmpl w:val="787483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D6402A"/>
    <w:multiLevelType w:val="hybridMultilevel"/>
    <w:tmpl w:val="78363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D4248"/>
    <w:multiLevelType w:val="hybridMultilevel"/>
    <w:tmpl w:val="EB34E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4C4A63"/>
    <w:multiLevelType w:val="hybridMultilevel"/>
    <w:tmpl w:val="787483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B91C9F"/>
    <w:multiLevelType w:val="hybridMultilevel"/>
    <w:tmpl w:val="6076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F39ED"/>
    <w:multiLevelType w:val="hybridMultilevel"/>
    <w:tmpl w:val="787483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3A2885"/>
    <w:multiLevelType w:val="hybridMultilevel"/>
    <w:tmpl w:val="5D1465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166823"/>
    <w:multiLevelType w:val="multilevel"/>
    <w:tmpl w:val="AA5C1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A66252"/>
    <w:multiLevelType w:val="hybridMultilevel"/>
    <w:tmpl w:val="787483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6"/>
  </w:num>
  <w:num w:numId="4">
    <w:abstractNumId w:val="5"/>
  </w:num>
  <w:num w:numId="5">
    <w:abstractNumId w:val="4"/>
  </w:num>
  <w:num w:numId="6">
    <w:abstractNumId w:val="10"/>
  </w:num>
  <w:num w:numId="7">
    <w:abstractNumId w:val="18"/>
  </w:num>
  <w:num w:numId="8">
    <w:abstractNumId w:val="14"/>
  </w:num>
  <w:num w:numId="9">
    <w:abstractNumId w:val="8"/>
  </w:num>
  <w:num w:numId="10">
    <w:abstractNumId w:val="2"/>
  </w:num>
  <w:num w:numId="11">
    <w:abstractNumId w:val="19"/>
  </w:num>
  <w:num w:numId="12">
    <w:abstractNumId w:val="13"/>
  </w:num>
  <w:num w:numId="13">
    <w:abstractNumId w:val="7"/>
  </w:num>
  <w:num w:numId="14">
    <w:abstractNumId w:val="16"/>
  </w:num>
  <w:num w:numId="15">
    <w:abstractNumId w:val="11"/>
  </w:num>
  <w:num w:numId="16">
    <w:abstractNumId w:val="15"/>
  </w:num>
  <w:num w:numId="17">
    <w:abstractNumId w:val="20"/>
  </w:num>
  <w:num w:numId="18">
    <w:abstractNumId w:val="9"/>
  </w:num>
  <w:num w:numId="19">
    <w:abstractNumId w:val="17"/>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EA"/>
    <w:rsid w:val="000739DC"/>
    <w:rsid w:val="000B76CE"/>
    <w:rsid w:val="00121013"/>
    <w:rsid w:val="00211C07"/>
    <w:rsid w:val="00261B12"/>
    <w:rsid w:val="00284C67"/>
    <w:rsid w:val="002851B7"/>
    <w:rsid w:val="002969D9"/>
    <w:rsid w:val="002A27F8"/>
    <w:rsid w:val="002C4624"/>
    <w:rsid w:val="00301633"/>
    <w:rsid w:val="00321ECA"/>
    <w:rsid w:val="003343C7"/>
    <w:rsid w:val="00363710"/>
    <w:rsid w:val="003725EE"/>
    <w:rsid w:val="003844A8"/>
    <w:rsid w:val="003C14A4"/>
    <w:rsid w:val="003D6AEF"/>
    <w:rsid w:val="004229CA"/>
    <w:rsid w:val="00427E3B"/>
    <w:rsid w:val="00453FCE"/>
    <w:rsid w:val="0046378A"/>
    <w:rsid w:val="004733B0"/>
    <w:rsid w:val="00487BDA"/>
    <w:rsid w:val="004B4A4D"/>
    <w:rsid w:val="004D24A2"/>
    <w:rsid w:val="004D3118"/>
    <w:rsid w:val="004E0F18"/>
    <w:rsid w:val="00515F26"/>
    <w:rsid w:val="0056247B"/>
    <w:rsid w:val="00597D4A"/>
    <w:rsid w:val="005B06FA"/>
    <w:rsid w:val="005B73CD"/>
    <w:rsid w:val="005D0EDE"/>
    <w:rsid w:val="00621700"/>
    <w:rsid w:val="006232E3"/>
    <w:rsid w:val="0062613A"/>
    <w:rsid w:val="00660554"/>
    <w:rsid w:val="006A44C4"/>
    <w:rsid w:val="006A76EC"/>
    <w:rsid w:val="007035F2"/>
    <w:rsid w:val="007040FD"/>
    <w:rsid w:val="00734FCA"/>
    <w:rsid w:val="00760FBC"/>
    <w:rsid w:val="007B71A9"/>
    <w:rsid w:val="007D620D"/>
    <w:rsid w:val="008023FC"/>
    <w:rsid w:val="0083573A"/>
    <w:rsid w:val="008452E2"/>
    <w:rsid w:val="008530AD"/>
    <w:rsid w:val="00875737"/>
    <w:rsid w:val="008C26AE"/>
    <w:rsid w:val="0097080B"/>
    <w:rsid w:val="009A10B0"/>
    <w:rsid w:val="00A4737D"/>
    <w:rsid w:val="00A73487"/>
    <w:rsid w:val="00AC40F3"/>
    <w:rsid w:val="00AD407E"/>
    <w:rsid w:val="00B37EBA"/>
    <w:rsid w:val="00B5512E"/>
    <w:rsid w:val="00B876E1"/>
    <w:rsid w:val="00BC47B5"/>
    <w:rsid w:val="00BE6DE5"/>
    <w:rsid w:val="00BF5A0A"/>
    <w:rsid w:val="00C40C19"/>
    <w:rsid w:val="00C4523C"/>
    <w:rsid w:val="00CA278C"/>
    <w:rsid w:val="00CB68D6"/>
    <w:rsid w:val="00D13600"/>
    <w:rsid w:val="00D26397"/>
    <w:rsid w:val="00D32155"/>
    <w:rsid w:val="00D863DB"/>
    <w:rsid w:val="00DD7F3D"/>
    <w:rsid w:val="00E02FEA"/>
    <w:rsid w:val="00E3779B"/>
    <w:rsid w:val="00E40DA3"/>
    <w:rsid w:val="00E71810"/>
    <w:rsid w:val="00F91B4C"/>
    <w:rsid w:val="00FC1ED0"/>
    <w:rsid w:val="00FE4878"/>
    <w:rsid w:val="00FF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3BEC"/>
  <w15:chartTrackingRefBased/>
  <w15:docId w15:val="{D4143C12-6CDE-4BC5-95AB-4947007D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FEA"/>
    <w:pPr>
      <w:ind w:left="720"/>
      <w:contextualSpacing/>
    </w:pPr>
  </w:style>
  <w:style w:type="paragraph" w:styleId="Header">
    <w:name w:val="header"/>
    <w:basedOn w:val="Normal"/>
    <w:link w:val="HeaderChar"/>
    <w:uiPriority w:val="99"/>
    <w:unhideWhenUsed/>
    <w:rsid w:val="003C1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4A4"/>
  </w:style>
  <w:style w:type="paragraph" w:styleId="Footer">
    <w:name w:val="footer"/>
    <w:basedOn w:val="Normal"/>
    <w:link w:val="FooterChar"/>
    <w:uiPriority w:val="99"/>
    <w:unhideWhenUsed/>
    <w:rsid w:val="003C1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4A4"/>
  </w:style>
  <w:style w:type="character" w:styleId="Hyperlink">
    <w:name w:val="Hyperlink"/>
    <w:basedOn w:val="DefaultParagraphFont"/>
    <w:uiPriority w:val="99"/>
    <w:unhideWhenUsed/>
    <w:rsid w:val="003C14A4"/>
    <w:rPr>
      <w:color w:val="0563C1" w:themeColor="hyperlink"/>
      <w:u w:val="single"/>
    </w:rPr>
  </w:style>
  <w:style w:type="character" w:styleId="UnresolvedMention">
    <w:name w:val="Unresolved Mention"/>
    <w:basedOn w:val="DefaultParagraphFont"/>
    <w:uiPriority w:val="99"/>
    <w:semiHidden/>
    <w:unhideWhenUsed/>
    <w:rsid w:val="003D6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84768">
      <w:bodyDiv w:val="1"/>
      <w:marLeft w:val="0"/>
      <w:marRight w:val="0"/>
      <w:marTop w:val="0"/>
      <w:marBottom w:val="0"/>
      <w:divBdr>
        <w:top w:val="none" w:sz="0" w:space="0" w:color="auto"/>
        <w:left w:val="none" w:sz="0" w:space="0" w:color="auto"/>
        <w:bottom w:val="none" w:sz="0" w:space="0" w:color="auto"/>
        <w:right w:val="none" w:sz="0" w:space="0" w:color="auto"/>
      </w:divBdr>
    </w:div>
    <w:div w:id="370155161">
      <w:bodyDiv w:val="1"/>
      <w:marLeft w:val="0"/>
      <w:marRight w:val="0"/>
      <w:marTop w:val="0"/>
      <w:marBottom w:val="0"/>
      <w:divBdr>
        <w:top w:val="none" w:sz="0" w:space="0" w:color="auto"/>
        <w:left w:val="none" w:sz="0" w:space="0" w:color="auto"/>
        <w:bottom w:val="none" w:sz="0" w:space="0" w:color="auto"/>
        <w:right w:val="none" w:sz="0" w:space="0" w:color="auto"/>
      </w:divBdr>
    </w:div>
    <w:div w:id="429786714">
      <w:bodyDiv w:val="1"/>
      <w:marLeft w:val="0"/>
      <w:marRight w:val="0"/>
      <w:marTop w:val="0"/>
      <w:marBottom w:val="0"/>
      <w:divBdr>
        <w:top w:val="none" w:sz="0" w:space="0" w:color="auto"/>
        <w:left w:val="none" w:sz="0" w:space="0" w:color="auto"/>
        <w:bottom w:val="none" w:sz="0" w:space="0" w:color="auto"/>
        <w:right w:val="none" w:sz="0" w:space="0" w:color="auto"/>
      </w:divBdr>
    </w:div>
    <w:div w:id="446119896">
      <w:bodyDiv w:val="1"/>
      <w:marLeft w:val="0"/>
      <w:marRight w:val="0"/>
      <w:marTop w:val="0"/>
      <w:marBottom w:val="0"/>
      <w:divBdr>
        <w:top w:val="none" w:sz="0" w:space="0" w:color="auto"/>
        <w:left w:val="none" w:sz="0" w:space="0" w:color="auto"/>
        <w:bottom w:val="none" w:sz="0" w:space="0" w:color="auto"/>
        <w:right w:val="none" w:sz="0" w:space="0" w:color="auto"/>
      </w:divBdr>
    </w:div>
    <w:div w:id="500197034">
      <w:bodyDiv w:val="1"/>
      <w:marLeft w:val="0"/>
      <w:marRight w:val="0"/>
      <w:marTop w:val="0"/>
      <w:marBottom w:val="0"/>
      <w:divBdr>
        <w:top w:val="none" w:sz="0" w:space="0" w:color="auto"/>
        <w:left w:val="none" w:sz="0" w:space="0" w:color="auto"/>
        <w:bottom w:val="none" w:sz="0" w:space="0" w:color="auto"/>
        <w:right w:val="none" w:sz="0" w:space="0" w:color="auto"/>
      </w:divBdr>
    </w:div>
    <w:div w:id="568543902">
      <w:bodyDiv w:val="1"/>
      <w:marLeft w:val="0"/>
      <w:marRight w:val="0"/>
      <w:marTop w:val="0"/>
      <w:marBottom w:val="0"/>
      <w:divBdr>
        <w:top w:val="none" w:sz="0" w:space="0" w:color="auto"/>
        <w:left w:val="none" w:sz="0" w:space="0" w:color="auto"/>
        <w:bottom w:val="none" w:sz="0" w:space="0" w:color="auto"/>
        <w:right w:val="none" w:sz="0" w:space="0" w:color="auto"/>
      </w:divBdr>
    </w:div>
    <w:div w:id="690492787">
      <w:bodyDiv w:val="1"/>
      <w:marLeft w:val="0"/>
      <w:marRight w:val="0"/>
      <w:marTop w:val="0"/>
      <w:marBottom w:val="0"/>
      <w:divBdr>
        <w:top w:val="none" w:sz="0" w:space="0" w:color="auto"/>
        <w:left w:val="none" w:sz="0" w:space="0" w:color="auto"/>
        <w:bottom w:val="none" w:sz="0" w:space="0" w:color="auto"/>
        <w:right w:val="none" w:sz="0" w:space="0" w:color="auto"/>
      </w:divBdr>
    </w:div>
    <w:div w:id="694422511">
      <w:bodyDiv w:val="1"/>
      <w:marLeft w:val="0"/>
      <w:marRight w:val="0"/>
      <w:marTop w:val="0"/>
      <w:marBottom w:val="0"/>
      <w:divBdr>
        <w:top w:val="none" w:sz="0" w:space="0" w:color="auto"/>
        <w:left w:val="none" w:sz="0" w:space="0" w:color="auto"/>
        <w:bottom w:val="none" w:sz="0" w:space="0" w:color="auto"/>
        <w:right w:val="none" w:sz="0" w:space="0" w:color="auto"/>
      </w:divBdr>
    </w:div>
    <w:div w:id="767696939">
      <w:bodyDiv w:val="1"/>
      <w:marLeft w:val="0"/>
      <w:marRight w:val="0"/>
      <w:marTop w:val="0"/>
      <w:marBottom w:val="0"/>
      <w:divBdr>
        <w:top w:val="none" w:sz="0" w:space="0" w:color="auto"/>
        <w:left w:val="none" w:sz="0" w:space="0" w:color="auto"/>
        <w:bottom w:val="none" w:sz="0" w:space="0" w:color="auto"/>
        <w:right w:val="none" w:sz="0" w:space="0" w:color="auto"/>
      </w:divBdr>
    </w:div>
    <w:div w:id="842478796">
      <w:bodyDiv w:val="1"/>
      <w:marLeft w:val="0"/>
      <w:marRight w:val="0"/>
      <w:marTop w:val="0"/>
      <w:marBottom w:val="0"/>
      <w:divBdr>
        <w:top w:val="none" w:sz="0" w:space="0" w:color="auto"/>
        <w:left w:val="none" w:sz="0" w:space="0" w:color="auto"/>
        <w:bottom w:val="none" w:sz="0" w:space="0" w:color="auto"/>
        <w:right w:val="none" w:sz="0" w:space="0" w:color="auto"/>
      </w:divBdr>
    </w:div>
    <w:div w:id="1009723359">
      <w:bodyDiv w:val="1"/>
      <w:marLeft w:val="0"/>
      <w:marRight w:val="0"/>
      <w:marTop w:val="0"/>
      <w:marBottom w:val="0"/>
      <w:divBdr>
        <w:top w:val="none" w:sz="0" w:space="0" w:color="auto"/>
        <w:left w:val="none" w:sz="0" w:space="0" w:color="auto"/>
        <w:bottom w:val="none" w:sz="0" w:space="0" w:color="auto"/>
        <w:right w:val="none" w:sz="0" w:space="0" w:color="auto"/>
      </w:divBdr>
    </w:div>
    <w:div w:id="1386224516">
      <w:bodyDiv w:val="1"/>
      <w:marLeft w:val="0"/>
      <w:marRight w:val="0"/>
      <w:marTop w:val="0"/>
      <w:marBottom w:val="0"/>
      <w:divBdr>
        <w:top w:val="none" w:sz="0" w:space="0" w:color="auto"/>
        <w:left w:val="none" w:sz="0" w:space="0" w:color="auto"/>
        <w:bottom w:val="none" w:sz="0" w:space="0" w:color="auto"/>
        <w:right w:val="none" w:sz="0" w:space="0" w:color="auto"/>
      </w:divBdr>
    </w:div>
    <w:div w:id="1603294610">
      <w:bodyDiv w:val="1"/>
      <w:marLeft w:val="0"/>
      <w:marRight w:val="0"/>
      <w:marTop w:val="0"/>
      <w:marBottom w:val="0"/>
      <w:divBdr>
        <w:top w:val="none" w:sz="0" w:space="0" w:color="auto"/>
        <w:left w:val="none" w:sz="0" w:space="0" w:color="auto"/>
        <w:bottom w:val="none" w:sz="0" w:space="0" w:color="auto"/>
        <w:right w:val="none" w:sz="0" w:space="0" w:color="auto"/>
      </w:divBdr>
    </w:div>
    <w:div w:id="1670670481">
      <w:bodyDiv w:val="1"/>
      <w:marLeft w:val="0"/>
      <w:marRight w:val="0"/>
      <w:marTop w:val="0"/>
      <w:marBottom w:val="0"/>
      <w:divBdr>
        <w:top w:val="none" w:sz="0" w:space="0" w:color="auto"/>
        <w:left w:val="none" w:sz="0" w:space="0" w:color="auto"/>
        <w:bottom w:val="none" w:sz="0" w:space="0" w:color="auto"/>
        <w:right w:val="none" w:sz="0" w:space="0" w:color="auto"/>
      </w:divBdr>
    </w:div>
    <w:div w:id="1722635056">
      <w:bodyDiv w:val="1"/>
      <w:marLeft w:val="0"/>
      <w:marRight w:val="0"/>
      <w:marTop w:val="0"/>
      <w:marBottom w:val="0"/>
      <w:divBdr>
        <w:top w:val="none" w:sz="0" w:space="0" w:color="auto"/>
        <w:left w:val="none" w:sz="0" w:space="0" w:color="auto"/>
        <w:bottom w:val="none" w:sz="0" w:space="0" w:color="auto"/>
        <w:right w:val="none" w:sz="0" w:space="0" w:color="auto"/>
      </w:divBdr>
    </w:div>
    <w:div w:id="1775437532">
      <w:bodyDiv w:val="1"/>
      <w:marLeft w:val="0"/>
      <w:marRight w:val="0"/>
      <w:marTop w:val="0"/>
      <w:marBottom w:val="0"/>
      <w:divBdr>
        <w:top w:val="none" w:sz="0" w:space="0" w:color="auto"/>
        <w:left w:val="none" w:sz="0" w:space="0" w:color="auto"/>
        <w:bottom w:val="none" w:sz="0" w:space="0" w:color="auto"/>
        <w:right w:val="none" w:sz="0" w:space="0" w:color="auto"/>
      </w:divBdr>
    </w:div>
    <w:div w:id="1782064869">
      <w:bodyDiv w:val="1"/>
      <w:marLeft w:val="0"/>
      <w:marRight w:val="0"/>
      <w:marTop w:val="0"/>
      <w:marBottom w:val="0"/>
      <w:divBdr>
        <w:top w:val="none" w:sz="0" w:space="0" w:color="auto"/>
        <w:left w:val="none" w:sz="0" w:space="0" w:color="auto"/>
        <w:bottom w:val="none" w:sz="0" w:space="0" w:color="auto"/>
        <w:right w:val="none" w:sz="0" w:space="0" w:color="auto"/>
      </w:divBdr>
    </w:div>
    <w:div w:id="1798986514">
      <w:bodyDiv w:val="1"/>
      <w:marLeft w:val="0"/>
      <w:marRight w:val="0"/>
      <w:marTop w:val="0"/>
      <w:marBottom w:val="0"/>
      <w:divBdr>
        <w:top w:val="none" w:sz="0" w:space="0" w:color="auto"/>
        <w:left w:val="none" w:sz="0" w:space="0" w:color="auto"/>
        <w:bottom w:val="none" w:sz="0" w:space="0" w:color="auto"/>
        <w:right w:val="none" w:sz="0" w:space="0" w:color="auto"/>
      </w:divBdr>
    </w:div>
    <w:div w:id="2062437052">
      <w:bodyDiv w:val="1"/>
      <w:marLeft w:val="0"/>
      <w:marRight w:val="0"/>
      <w:marTop w:val="0"/>
      <w:marBottom w:val="0"/>
      <w:divBdr>
        <w:top w:val="none" w:sz="0" w:space="0" w:color="auto"/>
        <w:left w:val="none" w:sz="0" w:space="0" w:color="auto"/>
        <w:bottom w:val="none" w:sz="0" w:space="0" w:color="auto"/>
        <w:right w:val="none" w:sz="0" w:space="0" w:color="auto"/>
      </w:divBdr>
    </w:div>
    <w:div w:id="212600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emichener@lvci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tatewideProviderPartnership@lvcil.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ewideProviderPartnership@lv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Michener, MA</dc:creator>
  <cp:keywords/>
  <dc:description/>
  <cp:lastModifiedBy>Joe Michener, MA</cp:lastModifiedBy>
  <cp:revision>4</cp:revision>
  <dcterms:created xsi:type="dcterms:W3CDTF">2020-10-14T19:20:00Z</dcterms:created>
  <dcterms:modified xsi:type="dcterms:W3CDTF">2020-10-15T12:48:00Z</dcterms:modified>
</cp:coreProperties>
</file>